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513115" w:rsidP="00DE7981">
      <w:pPr>
        <w:widowControl/>
        <w:adjustRightInd w:val="0"/>
        <w:snapToGrid w:val="0"/>
        <w:spacing w:line="360" w:lineRule="auto"/>
        <w:jc w:val="center"/>
        <w:rPr>
          <w:rFonts w:asciiTheme="majorEastAsia" w:eastAsiaTheme="majorEastAsia" w:hAnsiTheme="majorEastAsia"/>
          <w:sz w:val="48"/>
          <w:szCs w:val="36"/>
        </w:rPr>
      </w:pPr>
      <w:r w:rsidRPr="00C44F59">
        <w:rPr>
          <w:rFonts w:asciiTheme="majorEastAsia" w:eastAsiaTheme="majorEastAsia" w:hAnsiTheme="majorEastAsia" w:hint="eastAsia"/>
          <w:sz w:val="48"/>
          <w:szCs w:val="36"/>
        </w:rPr>
        <w:t>2018</w:t>
      </w:r>
      <w:r w:rsidR="00DE7981" w:rsidRPr="00C44F59">
        <w:rPr>
          <w:rFonts w:asciiTheme="majorEastAsia" w:eastAsiaTheme="majorEastAsia" w:hAnsiTheme="majorEastAsia" w:hint="eastAsia"/>
          <w:sz w:val="48"/>
          <w:szCs w:val="36"/>
        </w:rPr>
        <w:t>年广西工商职业技术学院</w:t>
      </w:r>
    </w:p>
    <w:p w:rsidR="00DE7981" w:rsidRPr="00C44F59" w:rsidRDefault="008367DD" w:rsidP="00DE7981">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44"/>
          <w:szCs w:val="44"/>
        </w:rPr>
        <w:t>中尧校区变压器增容1250KVA配电工程设计服务采购</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r w:rsidRPr="00C44F59">
        <w:rPr>
          <w:rFonts w:asciiTheme="majorEastAsia" w:eastAsiaTheme="majorEastAsia" w:hAnsiTheme="majorEastAsia"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3.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标报价表（加盖公章）</w:t>
      </w:r>
    </w:p>
    <w:p w:rsidR="00DE7981"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4.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标人基本情况表</w:t>
      </w:r>
    </w:p>
    <w:p w:rsidR="00D82D2B" w:rsidRPr="00C44F59" w:rsidRDefault="00D82D2B" w:rsidP="00DE7981">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 竞标操作办法</w:t>
      </w:r>
    </w:p>
    <w:p w:rsidR="00DE7981" w:rsidRPr="00C44F59" w:rsidRDefault="00D82D2B" w:rsidP="00DE7981">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6</w:t>
      </w:r>
      <w:r w:rsidR="00DE7981" w:rsidRPr="00C44F59">
        <w:rPr>
          <w:rFonts w:asciiTheme="majorEastAsia" w:eastAsiaTheme="majorEastAsia" w:hAnsiTheme="majorEastAsia" w:hint="eastAsia"/>
          <w:sz w:val="32"/>
          <w:szCs w:val="28"/>
        </w:rPr>
        <w:t>. 企业资质企业营业执照（副本复印件）、资质证书（副本复印件）、税务登记证（副本复印件）材料复印件一套</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D82D2B">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C44F59" w:rsidRDefault="00DE7981" w:rsidP="00DE7981">
      <w:pPr>
        <w:spacing w:line="520" w:lineRule="exact"/>
        <w:jc w:val="center"/>
        <w:rPr>
          <w:rFonts w:asciiTheme="majorEastAsia" w:eastAsiaTheme="majorEastAsia" w:hAnsiTheme="majorEastAsia"/>
          <w:sz w:val="36"/>
          <w:szCs w:val="32"/>
        </w:rPr>
      </w:pPr>
      <w:r w:rsidRPr="00C44F59">
        <w:rPr>
          <w:rFonts w:asciiTheme="majorEastAsia" w:eastAsiaTheme="majorEastAsia" w:hAnsiTheme="majorEastAsia" w:hint="eastAsia"/>
          <w:sz w:val="36"/>
          <w:szCs w:val="32"/>
        </w:rPr>
        <w:t>201</w:t>
      </w:r>
      <w:r w:rsidR="001E765B" w:rsidRPr="00C44F59">
        <w:rPr>
          <w:rFonts w:asciiTheme="majorEastAsia" w:eastAsiaTheme="majorEastAsia" w:hAnsiTheme="majorEastAsia" w:hint="eastAsia"/>
          <w:sz w:val="36"/>
          <w:szCs w:val="32"/>
        </w:rPr>
        <w:t>8</w:t>
      </w:r>
      <w:r w:rsidRPr="00C44F59">
        <w:rPr>
          <w:rFonts w:asciiTheme="majorEastAsia" w:eastAsiaTheme="majorEastAsia" w:hAnsiTheme="majorEastAsia" w:hint="eastAsia"/>
          <w:sz w:val="36"/>
          <w:szCs w:val="32"/>
        </w:rPr>
        <w:t>年广西工商职业技术学院</w:t>
      </w:r>
    </w:p>
    <w:p w:rsidR="00DE7981" w:rsidRPr="00C44F59" w:rsidRDefault="008367DD" w:rsidP="008367DD">
      <w:pPr>
        <w:spacing w:line="500" w:lineRule="exact"/>
        <w:jc w:val="center"/>
        <w:rPr>
          <w:rFonts w:asciiTheme="majorEastAsia" w:eastAsiaTheme="majorEastAsia" w:hAnsiTheme="majorEastAsia"/>
          <w:sz w:val="36"/>
          <w:szCs w:val="36"/>
        </w:rPr>
      </w:pPr>
      <w:r w:rsidRPr="008367DD">
        <w:rPr>
          <w:rFonts w:asciiTheme="majorEastAsia" w:eastAsiaTheme="majorEastAsia" w:hAnsiTheme="majorEastAsia" w:hint="eastAsia"/>
          <w:sz w:val="36"/>
          <w:szCs w:val="36"/>
        </w:rPr>
        <w:t>中尧校区变压器增容1250KVA配电工程设计服务</w:t>
      </w:r>
      <w:r w:rsidR="001559AA" w:rsidRPr="00C44F59">
        <w:rPr>
          <w:rFonts w:asciiTheme="majorEastAsia" w:eastAsiaTheme="majorEastAsia" w:hAnsiTheme="majorEastAsia" w:hint="eastAsia"/>
          <w:sz w:val="36"/>
          <w:szCs w:val="36"/>
        </w:rPr>
        <w:t>采购</w:t>
      </w:r>
      <w:r w:rsid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根据贵方</w:t>
      </w:r>
      <w:r w:rsidRPr="008367DD">
        <w:rPr>
          <w:rFonts w:asciiTheme="majorEastAsia" w:eastAsiaTheme="majorEastAsia" w:hAnsiTheme="majorEastAsia" w:cs="宋体" w:hint="eastAsia"/>
          <w:kern w:val="0"/>
          <w:sz w:val="28"/>
          <w:szCs w:val="28"/>
          <w:u w:val="single"/>
        </w:rPr>
        <w:t>201</w:t>
      </w:r>
      <w:r w:rsidR="001E765B" w:rsidRPr="008367DD">
        <w:rPr>
          <w:rFonts w:asciiTheme="majorEastAsia" w:eastAsiaTheme="majorEastAsia" w:hAnsiTheme="majorEastAsia" w:cs="宋体" w:hint="eastAsia"/>
          <w:kern w:val="0"/>
          <w:sz w:val="28"/>
          <w:szCs w:val="28"/>
          <w:u w:val="single"/>
        </w:rPr>
        <w:t>8</w:t>
      </w:r>
      <w:r w:rsidR="008367DD" w:rsidRPr="008367DD">
        <w:rPr>
          <w:rFonts w:asciiTheme="majorEastAsia" w:eastAsiaTheme="majorEastAsia" w:hAnsiTheme="majorEastAsia" w:cs="宋体" w:hint="eastAsia"/>
          <w:kern w:val="0"/>
          <w:sz w:val="28"/>
          <w:szCs w:val="28"/>
          <w:u w:val="single"/>
        </w:rPr>
        <w:t>年</w:t>
      </w:r>
      <w:r w:rsidRPr="008367DD">
        <w:rPr>
          <w:rFonts w:asciiTheme="majorEastAsia" w:eastAsiaTheme="majorEastAsia" w:hAnsiTheme="majorEastAsia" w:hint="eastAsia"/>
          <w:sz w:val="28"/>
          <w:szCs w:val="28"/>
          <w:u w:val="single"/>
        </w:rPr>
        <w:t>广西工商职业技术学院</w:t>
      </w:r>
      <w:r w:rsidR="008367DD" w:rsidRPr="008367DD">
        <w:rPr>
          <w:rFonts w:asciiTheme="majorEastAsia" w:eastAsiaTheme="majorEastAsia" w:hAnsiTheme="majorEastAsia" w:hint="eastAsia"/>
          <w:sz w:val="28"/>
          <w:szCs w:val="28"/>
          <w:u w:val="single"/>
        </w:rPr>
        <w:t>中尧校区变压器增容1250KVA配电工程设计服务</w:t>
      </w:r>
      <w:r w:rsidRPr="008367DD">
        <w:rPr>
          <w:rFonts w:asciiTheme="majorEastAsia" w:eastAsiaTheme="majorEastAsia" w:hAnsiTheme="majorEastAsia" w:cs="宋体" w:hint="eastAsia"/>
          <w:kern w:val="0"/>
          <w:sz w:val="28"/>
          <w:szCs w:val="28"/>
          <w:u w:val="single"/>
        </w:rPr>
        <w:t>采购</w:t>
      </w:r>
      <w:r w:rsidR="00C44F59"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标文件贰份（正本一份，副本一份）。每份内容包括：报价、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Pr="00C44F59" w:rsidRDefault="00C44F59" w:rsidP="00C44F59">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p w:rsidR="001D17C9" w:rsidRDefault="00DE7981" w:rsidP="00DE7981">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Pr="00C44F59">
        <w:rPr>
          <w:rFonts w:asciiTheme="majorEastAsia" w:eastAsiaTheme="majorEastAsia" w:hAnsiTheme="majorEastAsia" w:cs="宋体" w:hint="eastAsia"/>
          <w:bCs/>
          <w:kern w:val="0"/>
          <w:sz w:val="28"/>
        </w:rPr>
        <w:t>。</w:t>
      </w:r>
    </w:p>
    <w:p w:rsidR="00DE7981" w:rsidRPr="00C44F59" w:rsidRDefault="00DE7981" w:rsidP="00DE7981">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w:t>
      </w:r>
      <w:r w:rsidR="00E13E3B" w:rsidRPr="00C44F59">
        <w:rPr>
          <w:rFonts w:asciiTheme="majorEastAsia" w:eastAsiaTheme="majorEastAsia" w:hAnsiTheme="majorEastAsia" w:hint="eastAsia"/>
          <w:sz w:val="28"/>
        </w:rPr>
        <w:t>完工</w:t>
      </w:r>
      <w:r w:rsidRPr="00C44F59">
        <w:rPr>
          <w:rFonts w:asciiTheme="majorEastAsia" w:eastAsiaTheme="majorEastAsia" w:hAnsiTheme="majorEastAsia" w:hint="eastAsia"/>
          <w:sz w:val="28"/>
        </w:rPr>
        <w:t>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）没有正当理由，不能按时完成服务承诺，且未能及时通报</w:t>
      </w:r>
      <w:r w:rsidR="00C44F59" w:rsidRP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E13E3B" w:rsidRPr="00C44F59">
        <w:rPr>
          <w:rFonts w:asciiTheme="majorEastAsia" w:eastAsiaTheme="majorEastAsia" w:hAnsiTheme="majorEastAsia" w:hint="eastAsia"/>
          <w:sz w:val="28"/>
        </w:rPr>
        <w:t>天</w:t>
      </w:r>
      <w:r w:rsidRPr="00C44F59">
        <w:rPr>
          <w:rFonts w:asciiTheme="majorEastAsia" w:eastAsiaTheme="majorEastAsia" w:hAnsiTheme="majorEastAsia" w:hint="eastAsia"/>
          <w:sz w:val="28"/>
        </w:rPr>
        <w:t>的违约处罚。</w:t>
      </w:r>
    </w:p>
    <w:p w:rsidR="00DE7981" w:rsidRPr="00C44F59" w:rsidRDefault="00DE7981" w:rsidP="00813D7D">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w:t>
      </w:r>
      <w:r w:rsidR="00C44F59"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rPr>
        <w:t>质量保证金不予返还。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1B65D0"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586C6A" w:rsidRDefault="00586C6A" w:rsidP="00DE7981">
      <w:pPr>
        <w:spacing w:line="480" w:lineRule="exact"/>
        <w:rPr>
          <w:rFonts w:asciiTheme="majorEastAsia" w:eastAsiaTheme="majorEastAsia" w:hAnsiTheme="majorEastAsia"/>
          <w:sz w:val="24"/>
        </w:rPr>
      </w:pPr>
    </w:p>
    <w:p w:rsidR="008367DD" w:rsidRPr="00C44F59" w:rsidRDefault="008367DD"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lastRenderedPageBreak/>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C44F59" w:rsidRDefault="00DE7981" w:rsidP="00DE7981">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00143723" w:rsidRPr="008367DD">
        <w:rPr>
          <w:rFonts w:asciiTheme="majorEastAsia" w:eastAsiaTheme="majorEastAsia" w:hAnsiTheme="majorEastAsia" w:cs="宋体" w:hint="eastAsia"/>
          <w:kern w:val="0"/>
          <w:sz w:val="28"/>
          <w:u w:val="single"/>
        </w:rPr>
        <w:t>2018</w:t>
      </w:r>
      <w:r w:rsidRPr="008367DD">
        <w:rPr>
          <w:rFonts w:asciiTheme="majorEastAsia" w:eastAsiaTheme="majorEastAsia" w:hAnsiTheme="majorEastAsia" w:cs="宋体" w:hint="eastAsia"/>
          <w:kern w:val="0"/>
          <w:sz w:val="28"/>
          <w:u w:val="single"/>
        </w:rPr>
        <w:t>年广西工商职业技术学院</w:t>
      </w:r>
      <w:r w:rsidR="008367DD" w:rsidRPr="008367DD">
        <w:rPr>
          <w:rFonts w:asciiTheme="majorEastAsia" w:eastAsiaTheme="majorEastAsia" w:hAnsiTheme="majorEastAsia" w:hint="eastAsia"/>
          <w:sz w:val="28"/>
          <w:szCs w:val="28"/>
          <w:u w:val="single"/>
        </w:rPr>
        <w:t>中尧校区变压器增容1250KVA配电工程设计服务</w:t>
      </w:r>
      <w:r w:rsidRPr="008367DD">
        <w:rPr>
          <w:rFonts w:asciiTheme="majorEastAsia" w:eastAsiaTheme="majorEastAsia" w:hAnsiTheme="majorEastAsia" w:cs="宋体" w:hint="eastAsia"/>
          <w:kern w:val="0"/>
          <w:sz w:val="28"/>
          <w:u w:val="single"/>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C44F59" w:rsidP="00DE7981">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00DE7981" w:rsidRPr="00C44F59">
        <w:rPr>
          <w:rFonts w:asciiTheme="majorEastAsia" w:eastAsiaTheme="majorEastAsia" w:hAnsiTheme="majorEastAsia"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00143723" w:rsidRPr="008367DD">
        <w:rPr>
          <w:rFonts w:asciiTheme="majorEastAsia" w:eastAsiaTheme="majorEastAsia" w:hAnsiTheme="majorEastAsia" w:cs="宋体" w:hint="eastAsia"/>
          <w:kern w:val="0"/>
          <w:sz w:val="28"/>
          <w:u w:val="single"/>
        </w:rPr>
        <w:t>201</w:t>
      </w:r>
      <w:r w:rsidR="00631449" w:rsidRPr="008367DD">
        <w:rPr>
          <w:rFonts w:asciiTheme="majorEastAsia" w:eastAsiaTheme="majorEastAsia" w:hAnsiTheme="majorEastAsia" w:cs="宋体" w:hint="eastAsia"/>
          <w:kern w:val="0"/>
          <w:sz w:val="28"/>
          <w:u w:val="single"/>
        </w:rPr>
        <w:t>8</w:t>
      </w:r>
      <w:r w:rsidRPr="008367DD">
        <w:rPr>
          <w:rFonts w:asciiTheme="majorEastAsia" w:eastAsiaTheme="majorEastAsia" w:hAnsiTheme="majorEastAsia" w:cs="宋体" w:hint="eastAsia"/>
          <w:kern w:val="0"/>
          <w:sz w:val="28"/>
          <w:u w:val="single"/>
        </w:rPr>
        <w:t>年广西工商职业技术学院</w:t>
      </w:r>
      <w:r w:rsidR="008367DD" w:rsidRPr="008367DD">
        <w:rPr>
          <w:rFonts w:asciiTheme="majorEastAsia" w:eastAsiaTheme="majorEastAsia" w:hAnsiTheme="majorEastAsia" w:hint="eastAsia"/>
          <w:sz w:val="28"/>
          <w:szCs w:val="28"/>
          <w:u w:val="single"/>
        </w:rPr>
        <w:t>中尧校区变压器增容1250KVA配</w:t>
      </w:r>
      <w:bookmarkStart w:id="0" w:name="_GoBack"/>
      <w:bookmarkEnd w:id="0"/>
      <w:r w:rsidR="008367DD" w:rsidRPr="008367DD">
        <w:rPr>
          <w:rFonts w:asciiTheme="majorEastAsia" w:eastAsiaTheme="majorEastAsia" w:hAnsiTheme="majorEastAsia" w:hint="eastAsia"/>
          <w:sz w:val="28"/>
          <w:szCs w:val="28"/>
          <w:u w:val="single"/>
        </w:rPr>
        <w:t>电工程设计服务</w:t>
      </w:r>
      <w:r w:rsidR="000520B3" w:rsidRPr="008367DD">
        <w:rPr>
          <w:rFonts w:asciiTheme="majorEastAsia" w:eastAsiaTheme="majorEastAsia" w:hAnsiTheme="majorEastAsia" w:cs="宋体" w:hint="eastAsia"/>
          <w:kern w:val="0"/>
          <w:sz w:val="28"/>
          <w:szCs w:val="28"/>
          <w:u w:val="single"/>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0520B3" w:rsidRPr="00C44F59" w:rsidRDefault="000520B3" w:rsidP="000520B3">
      <w:pPr>
        <w:spacing w:line="500" w:lineRule="exact"/>
        <w:ind w:firstLine="570"/>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DE7981" w:rsidRPr="00C44F59" w:rsidRDefault="00DE7981" w:rsidP="00DE7981">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DE7981" w:rsidP="00DE7981">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Pr="00C44F59">
        <w:rPr>
          <w:rFonts w:asciiTheme="majorEastAsia" w:eastAsiaTheme="majorEastAsia" w:hAnsiTheme="majorEastAsia" w:hint="eastAsia"/>
          <w:b/>
          <w:sz w:val="28"/>
        </w:rPr>
        <w:lastRenderedPageBreak/>
        <w:t>4：</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 企业资质企业营业执照（副本复印件）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 xml:space="preserve">3. </w:t>
      </w:r>
      <w:r w:rsidR="009661BC" w:rsidRPr="00C44F59">
        <w:rPr>
          <w:rFonts w:asciiTheme="majorEastAsia" w:eastAsiaTheme="majorEastAsia" w:hAnsiTheme="majorEastAsia" w:hint="eastAsia"/>
          <w:sz w:val="28"/>
        </w:rPr>
        <w:t>税务登记证（副本复印件）材料复印件一套</w:t>
      </w:r>
      <w:r w:rsidRPr="00C44F59">
        <w:rPr>
          <w:rFonts w:asciiTheme="majorEastAsia" w:eastAsiaTheme="majorEastAsia" w:hAnsiTheme="majorEastAsia" w:hint="eastAsia"/>
          <w:sz w:val="28"/>
        </w:rPr>
        <w:t>。</w:t>
      </w: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DE7981" w:rsidRDefault="009661BC" w:rsidP="009661BC">
      <w:pPr>
        <w:spacing w:line="500" w:lineRule="exact"/>
        <w:jc w:val="left"/>
        <w:rPr>
          <w:rFonts w:asciiTheme="majorEastAsia" w:eastAsiaTheme="majorEastAsia" w:hAnsiTheme="major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D82D2B" w:rsidRDefault="00D82D2B" w:rsidP="009661BC">
      <w:pPr>
        <w:spacing w:line="500" w:lineRule="exact"/>
        <w:jc w:val="left"/>
        <w:rPr>
          <w:rFonts w:asciiTheme="majorEastAsia" w:eastAsiaTheme="majorEastAsia" w:hAnsiTheme="majorEastAsia"/>
          <w:b/>
          <w:sz w:val="28"/>
        </w:rPr>
      </w:pPr>
      <w:r w:rsidRPr="00D82D2B">
        <w:rPr>
          <w:rFonts w:asciiTheme="majorEastAsia" w:eastAsiaTheme="majorEastAsia" w:hAnsiTheme="majorEastAsia" w:hint="eastAsia"/>
          <w:b/>
          <w:sz w:val="28"/>
        </w:rPr>
        <w:lastRenderedPageBreak/>
        <w:t>5. 竞</w:t>
      </w:r>
      <w:proofErr w:type="gramStart"/>
      <w:r w:rsidRPr="00D82D2B">
        <w:rPr>
          <w:rFonts w:asciiTheme="majorEastAsia" w:eastAsiaTheme="majorEastAsia" w:hAnsiTheme="majorEastAsia" w:hint="eastAsia"/>
          <w:b/>
          <w:sz w:val="28"/>
        </w:rPr>
        <w:t>谈操作</w:t>
      </w:r>
      <w:proofErr w:type="gramEnd"/>
      <w:r w:rsidRPr="00D82D2B">
        <w:rPr>
          <w:rFonts w:asciiTheme="majorEastAsia" w:eastAsiaTheme="majorEastAsia" w:hAnsiTheme="majorEastAsia" w:hint="eastAsia"/>
          <w:b/>
          <w:sz w:val="28"/>
        </w:rPr>
        <w:t>办法</w:t>
      </w:r>
    </w:p>
    <w:p w:rsidR="00D82D2B" w:rsidRDefault="00D82D2B" w:rsidP="00D82D2B">
      <w:pPr>
        <w:spacing w:line="600" w:lineRule="exact"/>
        <w:rPr>
          <w:rFonts w:ascii="黑体" w:eastAsia="黑体" w:hAnsi="黑体"/>
          <w:sz w:val="36"/>
          <w:szCs w:val="36"/>
        </w:rPr>
      </w:pPr>
    </w:p>
    <w:p w:rsidR="00D82D2B" w:rsidRPr="008450B5" w:rsidRDefault="00D82D2B" w:rsidP="00D82D2B">
      <w:pPr>
        <w:spacing w:line="600" w:lineRule="exact"/>
        <w:jc w:val="center"/>
        <w:rPr>
          <w:rFonts w:ascii="黑体" w:eastAsia="黑体" w:hAnsi="黑体"/>
          <w:sz w:val="36"/>
          <w:szCs w:val="36"/>
        </w:rPr>
      </w:pPr>
      <w:r>
        <w:rPr>
          <w:rFonts w:ascii="黑体" w:eastAsia="黑体" w:hAnsi="黑体" w:hint="eastAsia"/>
          <w:sz w:val="36"/>
          <w:szCs w:val="36"/>
        </w:rPr>
        <w:t>中尧校区变压器增容1250KVA配电工程设计</w:t>
      </w:r>
      <w:r w:rsidRPr="008450B5">
        <w:rPr>
          <w:rFonts w:ascii="黑体" w:eastAsia="黑体" w:hAnsi="黑体" w:hint="eastAsia"/>
          <w:sz w:val="36"/>
          <w:szCs w:val="36"/>
        </w:rPr>
        <w:t>服务采购</w:t>
      </w:r>
    </w:p>
    <w:p w:rsidR="00D82D2B" w:rsidRPr="008450B5" w:rsidRDefault="00D82D2B" w:rsidP="00D82D2B">
      <w:pPr>
        <w:spacing w:line="600" w:lineRule="exact"/>
        <w:jc w:val="center"/>
        <w:rPr>
          <w:rFonts w:ascii="黑体" w:eastAsia="黑体" w:hAnsi="黑体"/>
          <w:sz w:val="36"/>
          <w:szCs w:val="36"/>
        </w:rPr>
      </w:pPr>
      <w:r>
        <w:rPr>
          <w:rFonts w:ascii="黑体" w:eastAsia="黑体" w:hAnsi="黑体" w:hint="eastAsia"/>
          <w:sz w:val="36"/>
          <w:szCs w:val="36"/>
        </w:rPr>
        <w:t>竞</w:t>
      </w:r>
      <w:proofErr w:type="gramStart"/>
      <w:r>
        <w:rPr>
          <w:rFonts w:ascii="黑体" w:eastAsia="黑体" w:hAnsi="黑体" w:hint="eastAsia"/>
          <w:sz w:val="36"/>
          <w:szCs w:val="36"/>
        </w:rPr>
        <w:t>谈</w:t>
      </w:r>
      <w:r w:rsidRPr="008450B5">
        <w:rPr>
          <w:rFonts w:ascii="黑体" w:eastAsia="黑体" w:hAnsi="黑体" w:hint="eastAsia"/>
          <w:sz w:val="36"/>
          <w:szCs w:val="36"/>
        </w:rPr>
        <w:t>操作</w:t>
      </w:r>
      <w:proofErr w:type="gramEnd"/>
      <w:r w:rsidRPr="008450B5">
        <w:rPr>
          <w:rFonts w:ascii="黑体" w:eastAsia="黑体" w:hAnsi="黑体" w:hint="eastAsia"/>
          <w:sz w:val="36"/>
          <w:szCs w:val="36"/>
        </w:rPr>
        <w:t>办法</w:t>
      </w:r>
    </w:p>
    <w:p w:rsidR="00D82D2B" w:rsidRPr="00A56F5F" w:rsidRDefault="00D82D2B" w:rsidP="00D82D2B">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862DD0" w:rsidRDefault="00D82D2B" w:rsidP="00862DD0">
      <w:pPr>
        <w:spacing w:line="460" w:lineRule="exact"/>
        <w:ind w:right="41" w:firstLineChars="200" w:firstLine="560"/>
        <w:jc w:val="left"/>
        <w:rPr>
          <w:rFonts w:asciiTheme="minorEastAsia" w:eastAsiaTheme="minorEastAsia" w:hAnsiTheme="minorEastAsia" w:hint="eastAsia"/>
          <w:color w:val="000000"/>
          <w:sz w:val="28"/>
          <w:szCs w:val="28"/>
        </w:rPr>
      </w:pPr>
      <w:r w:rsidRPr="00A56F5F">
        <w:rPr>
          <w:rFonts w:asciiTheme="minorEastAsia" w:eastAsiaTheme="minorEastAsia" w:hAnsiTheme="minorEastAsia" w:hint="eastAsia"/>
          <w:color w:val="000000"/>
          <w:sz w:val="28"/>
          <w:szCs w:val="28"/>
        </w:rPr>
        <w:t>（一）</w:t>
      </w:r>
      <w:r w:rsidR="00862DD0" w:rsidRPr="00862DD0">
        <w:rPr>
          <w:rFonts w:asciiTheme="minorEastAsia" w:eastAsiaTheme="minorEastAsia" w:hAnsiTheme="minorEastAsia" w:hint="eastAsia"/>
          <w:color w:val="000000"/>
          <w:sz w:val="28"/>
          <w:szCs w:val="28"/>
        </w:rPr>
        <w:t>独立法人，近三年无不良记录，具备电力工程设计丙级及以上（含丙级）资质，能提供10kV电力送变电工程勘察、设计服务，在南宁供电局备案并保证审图通过（要求提供在南宁供电局审图通过的业绩）并在人员、设备、资金等方面具有相应的设计能力。</w:t>
      </w:r>
    </w:p>
    <w:p w:rsidR="00D82D2B" w:rsidRPr="00A56F5F" w:rsidRDefault="00D82D2B" w:rsidP="00862DD0">
      <w:pPr>
        <w:spacing w:line="460" w:lineRule="exact"/>
        <w:ind w:right="41" w:firstLineChars="200" w:firstLine="560"/>
        <w:jc w:val="left"/>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4A1A0B">
        <w:rPr>
          <w:rFonts w:asciiTheme="majorEastAsia" w:eastAsiaTheme="majorEastAsia" w:hAnsiTheme="majorEastAsia" w:hint="eastAsia"/>
          <w:sz w:val="28"/>
          <w:szCs w:val="28"/>
        </w:rPr>
        <w:t>。企业营业执照（副</w:t>
      </w:r>
      <w:r w:rsidRPr="004A1A0B">
        <w:rPr>
          <w:rFonts w:asciiTheme="majorEastAsia" w:eastAsiaTheme="majorEastAsia" w:hAnsiTheme="majorEastAsia" w:hint="eastAsia"/>
          <w:color w:val="000000"/>
          <w:sz w:val="28"/>
          <w:szCs w:val="28"/>
        </w:rPr>
        <w:t>本复印件）、法人授权委托书、委托代理人身份证（复印件）。</w:t>
      </w:r>
      <w:r w:rsidRPr="004A1A0B">
        <w:rPr>
          <w:rFonts w:asciiTheme="majorEastAsia" w:eastAsiaTheme="majorEastAsia" w:hAnsiTheme="majorEastAsia" w:hint="eastAsia"/>
          <w:color w:val="000000"/>
          <w:sz w:val="32"/>
          <w:szCs w:val="32"/>
          <w:shd w:val="clear" w:color="auto" w:fill="FFFFFF"/>
        </w:rPr>
        <w:t>项目负责人及工作人员职称证书、</w:t>
      </w:r>
      <w:r w:rsidRPr="004A1A0B">
        <w:rPr>
          <w:rFonts w:asciiTheme="majorEastAsia" w:eastAsiaTheme="majorEastAsia" w:hAnsiTheme="majorEastAsia" w:hint="eastAsia"/>
          <w:sz w:val="32"/>
          <w:szCs w:val="32"/>
        </w:rPr>
        <w:t>劳务合同、资质证书、身份证复印件等证明材料。</w:t>
      </w:r>
    </w:p>
    <w:p w:rsidR="00D82D2B" w:rsidRPr="004A788C" w:rsidRDefault="00D82D2B" w:rsidP="00D82D2B">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）及要求（质量要求、售后要求、工期</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D82D2B" w:rsidRPr="00A56F5F" w:rsidRDefault="00D82D2B" w:rsidP="00D82D2B">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Pr="004A788C">
        <w:rPr>
          <w:rFonts w:asciiTheme="minorEastAsia" w:hAnsiTheme="minorEastAsia" w:hint="eastAsia"/>
          <w:color w:val="000000"/>
          <w:sz w:val="28"/>
          <w:szCs w:val="28"/>
        </w:rPr>
        <w:t>截标。根据拟定的截标时间截止接收投标材料。</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Pr="004A788C">
        <w:rPr>
          <w:rFonts w:asciiTheme="minorEastAsia" w:hAnsiTheme="minorEastAsia" w:hint="eastAsia"/>
          <w:color w:val="000000"/>
          <w:sz w:val="28"/>
          <w:szCs w:val="28"/>
        </w:rPr>
        <w:t>验明投标人、委托代理人资质。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Pr="004A788C">
        <w:rPr>
          <w:rFonts w:asciiTheme="minorEastAsia" w:hAnsiTheme="minorEastAsia" w:hint="eastAsia"/>
          <w:color w:val="000000"/>
          <w:sz w:val="28"/>
          <w:szCs w:val="28"/>
        </w:rPr>
        <w:t>抽签排序。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Pr="004A788C">
        <w:rPr>
          <w:rFonts w:asciiTheme="minorEastAsia" w:hAnsiTheme="minorEastAsia" w:hint="eastAsia"/>
          <w:color w:val="000000"/>
          <w:sz w:val="28"/>
          <w:szCs w:val="28"/>
        </w:rPr>
        <w:t>按抽签顺序，投标人第一次暗标（</w:t>
      </w:r>
      <w:r>
        <w:rPr>
          <w:rFonts w:asciiTheme="minorEastAsia" w:hAnsiTheme="minorEastAsia" w:hint="eastAsia"/>
          <w:color w:val="000000"/>
          <w:sz w:val="28"/>
          <w:szCs w:val="28"/>
        </w:rPr>
        <w:t>竞谈小组成员</w:t>
      </w:r>
      <w:r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Pr="004A788C">
        <w:rPr>
          <w:rFonts w:asciiTheme="minorEastAsia" w:hAnsiTheme="minorEastAsia" w:hint="eastAsia"/>
          <w:color w:val="000000"/>
          <w:sz w:val="28"/>
          <w:szCs w:val="28"/>
        </w:rPr>
        <w:t>投标单位第二次（最后一次）暗标，在指定的时间内递交第二次投标报价表到指定地点。</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Pr="004A788C">
        <w:rPr>
          <w:rFonts w:asciiTheme="minorEastAsia" w:hAnsiTheme="minorEastAsia" w:hint="eastAsia"/>
          <w:color w:val="000000"/>
          <w:sz w:val="28"/>
          <w:szCs w:val="28"/>
        </w:rPr>
        <w:t>评标（</w:t>
      </w:r>
      <w:proofErr w:type="gramStart"/>
      <w:r w:rsidRPr="004A788C">
        <w:rPr>
          <w:rFonts w:asciiTheme="minorEastAsia" w:hAnsiTheme="minorEastAsia" w:hint="eastAsia"/>
          <w:color w:val="000000"/>
          <w:sz w:val="28"/>
          <w:szCs w:val="28"/>
        </w:rPr>
        <w:t>仅评商务</w:t>
      </w:r>
      <w:proofErr w:type="gramEnd"/>
      <w:r w:rsidRPr="004A788C">
        <w:rPr>
          <w:rFonts w:asciiTheme="minorEastAsia" w:hAnsiTheme="minorEastAsia" w:hint="eastAsia"/>
          <w:color w:val="000000"/>
          <w:sz w:val="28"/>
          <w:szCs w:val="28"/>
        </w:rPr>
        <w:t>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1、</w:t>
      </w:r>
      <w:r w:rsidRPr="004A788C">
        <w:rPr>
          <w:rFonts w:asciiTheme="minorEastAsia" w:hAnsiTheme="minorEastAsia" w:hint="eastAsia"/>
          <w:color w:val="000000"/>
          <w:sz w:val="28"/>
          <w:szCs w:val="28"/>
        </w:rPr>
        <w:t>报价高于第一次暗标者为无效标。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lastRenderedPageBreak/>
        <w:t>2、</w:t>
      </w:r>
      <w:r w:rsidRPr="004A788C">
        <w:rPr>
          <w:rFonts w:asciiTheme="minorEastAsia" w:hAnsiTheme="minorEastAsia" w:hint="eastAsia"/>
          <w:color w:val="000000"/>
          <w:sz w:val="28"/>
          <w:szCs w:val="28"/>
        </w:rPr>
        <w:t>按商务标得分由高到低排序。</w:t>
      </w:r>
    </w:p>
    <w:p w:rsidR="00D82D2B" w:rsidRPr="00A56F5F" w:rsidRDefault="00D82D2B" w:rsidP="00D82D2B">
      <w:pPr>
        <w:spacing w:line="460" w:lineRule="exact"/>
        <w:ind w:firstLine="573"/>
        <w:rPr>
          <w:rFonts w:ascii="黑体" w:eastAsia="黑体" w:hAnsi="黑体"/>
          <w:sz w:val="28"/>
          <w:szCs w:val="28"/>
        </w:rPr>
      </w:pPr>
      <w:r w:rsidRPr="00A56F5F">
        <w:rPr>
          <w:rFonts w:ascii="黑体" w:eastAsia="黑体" w:hAnsi="黑体" w:hint="eastAsia"/>
          <w:sz w:val="28"/>
          <w:szCs w:val="28"/>
        </w:rPr>
        <w:t>四、评标办法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D82D2B" w:rsidRPr="004A788C" w:rsidRDefault="00D82D2B" w:rsidP="00D82D2B">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Pr="00A56F5F">
        <w:rPr>
          <w:rFonts w:asciiTheme="minorEastAsia" w:hAnsiTheme="minorEastAsia" w:hint="eastAsia"/>
          <w:color w:val="000000"/>
          <w:sz w:val="28"/>
          <w:szCs w:val="28"/>
        </w:rPr>
        <w:t>以报价、工期为主要因素，以售后服务、公司信誉等为参考因素进行评标排序。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D82D2B" w:rsidRPr="008450B5" w:rsidRDefault="00D82D2B" w:rsidP="00D82D2B">
      <w:pPr>
        <w:spacing w:line="500" w:lineRule="exact"/>
        <w:jc w:val="left"/>
        <w:rPr>
          <w:rFonts w:asciiTheme="majorEastAsia" w:eastAsiaTheme="majorEastAsia" w:hAnsiTheme="majorEastAsia"/>
          <w:sz w:val="22"/>
          <w:szCs w:val="21"/>
        </w:rPr>
      </w:pPr>
    </w:p>
    <w:p w:rsidR="00D82D2B" w:rsidRPr="00D82D2B" w:rsidRDefault="00D82D2B" w:rsidP="009661BC">
      <w:pPr>
        <w:spacing w:line="500" w:lineRule="exact"/>
        <w:jc w:val="left"/>
        <w:rPr>
          <w:rFonts w:asciiTheme="majorEastAsia" w:eastAsiaTheme="majorEastAsia" w:hAnsiTheme="majorEastAsia"/>
          <w:sz w:val="22"/>
          <w:szCs w:val="21"/>
        </w:rPr>
      </w:pPr>
    </w:p>
    <w:p w:rsidR="00990A78" w:rsidRDefault="00DE7981" w:rsidP="00DE7981">
      <w:pPr>
        <w:spacing w:line="20" w:lineRule="exact"/>
        <w:rPr>
          <w:rFonts w:asciiTheme="majorEastAsia" w:eastAsiaTheme="majorEastAsia" w:hAnsiTheme="majorEastAsia" w:cs="宋体"/>
          <w:kern w:val="0"/>
          <w:sz w:val="32"/>
          <w:szCs w:val="30"/>
        </w:rPr>
      </w:pPr>
      <w:r w:rsidRPr="00C44F59" w:rsidDel="00623465">
        <w:rPr>
          <w:rFonts w:asciiTheme="majorEastAsia" w:eastAsiaTheme="majorEastAsia" w:hAnsiTheme="majorEastAsia" w:cs="宋体" w:hint="eastAsia"/>
          <w:kern w:val="0"/>
          <w:sz w:val="32"/>
          <w:szCs w:val="30"/>
        </w:rPr>
        <w:t xml:space="preserve"> </w:t>
      </w:r>
    </w:p>
    <w:p w:rsidR="00D82D2B" w:rsidRPr="00C44F59" w:rsidRDefault="00D82D2B" w:rsidP="00DE7981">
      <w:pPr>
        <w:spacing w:line="20" w:lineRule="exact"/>
        <w:rPr>
          <w:rFonts w:asciiTheme="majorEastAsia" w:eastAsiaTheme="majorEastAsia" w:hAnsiTheme="majorEastAsia"/>
          <w:sz w:val="28"/>
        </w:rPr>
      </w:pPr>
    </w:p>
    <w:sectPr w:rsidR="00D82D2B"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A56" w:rsidRDefault="00A61A56" w:rsidP="00DE7981">
      <w:r>
        <w:separator/>
      </w:r>
    </w:p>
  </w:endnote>
  <w:endnote w:type="continuationSeparator" w:id="0">
    <w:p w:rsidR="00A61A56" w:rsidRDefault="00A61A56"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862DD0">
      <w:rPr>
        <w:rStyle w:val="a5"/>
        <w:noProof/>
      </w:rPr>
      <w:t>10</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A56" w:rsidRDefault="00A61A56" w:rsidP="00DE7981">
      <w:r>
        <w:separator/>
      </w:r>
    </w:p>
  </w:footnote>
  <w:footnote w:type="continuationSeparator" w:id="0">
    <w:p w:rsidR="00A61A56" w:rsidRDefault="00A61A56"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143723"/>
    <w:rsid w:val="001559AA"/>
    <w:rsid w:val="001B2A3C"/>
    <w:rsid w:val="001B65D0"/>
    <w:rsid w:val="001D17C9"/>
    <w:rsid w:val="001E765B"/>
    <w:rsid w:val="00221D96"/>
    <w:rsid w:val="003166DC"/>
    <w:rsid w:val="00317364"/>
    <w:rsid w:val="0032075B"/>
    <w:rsid w:val="00513115"/>
    <w:rsid w:val="00542AB9"/>
    <w:rsid w:val="00586C6A"/>
    <w:rsid w:val="005E3B88"/>
    <w:rsid w:val="005F3DDF"/>
    <w:rsid w:val="00631449"/>
    <w:rsid w:val="00671C6B"/>
    <w:rsid w:val="006802B5"/>
    <w:rsid w:val="006A0F26"/>
    <w:rsid w:val="006E43B2"/>
    <w:rsid w:val="00777D03"/>
    <w:rsid w:val="008121CC"/>
    <w:rsid w:val="00813D7D"/>
    <w:rsid w:val="008367DD"/>
    <w:rsid w:val="00844BFF"/>
    <w:rsid w:val="00862DD0"/>
    <w:rsid w:val="008835A7"/>
    <w:rsid w:val="009661BC"/>
    <w:rsid w:val="00990A78"/>
    <w:rsid w:val="009C78C4"/>
    <w:rsid w:val="009F374D"/>
    <w:rsid w:val="00A61A56"/>
    <w:rsid w:val="00B86E09"/>
    <w:rsid w:val="00BB7108"/>
    <w:rsid w:val="00C44F59"/>
    <w:rsid w:val="00C84E39"/>
    <w:rsid w:val="00D05B09"/>
    <w:rsid w:val="00D82D2B"/>
    <w:rsid w:val="00DE7981"/>
    <w:rsid w:val="00E13E3B"/>
    <w:rsid w:val="00E40B4F"/>
    <w:rsid w:val="00EC3AFA"/>
    <w:rsid w:val="00EE0950"/>
    <w:rsid w:val="00EF41C6"/>
    <w:rsid w:val="00F07126"/>
    <w:rsid w:val="00F9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DCCC-6E33-43D1-BD2F-1F9295A5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562</Words>
  <Characters>3208</Characters>
  <Application>Microsoft Office Word</Application>
  <DocSecurity>0</DocSecurity>
  <Lines>26</Lines>
  <Paragraphs>7</Paragraphs>
  <ScaleCrop>false</ScaleCrop>
  <Company>Free sky</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22</cp:revision>
  <dcterms:created xsi:type="dcterms:W3CDTF">2017-12-08T01:49:00Z</dcterms:created>
  <dcterms:modified xsi:type="dcterms:W3CDTF">2018-07-09T07:57:00Z</dcterms:modified>
</cp:coreProperties>
</file>